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6A5F" w14:textId="77777777" w:rsidR="00A66C51" w:rsidRDefault="00763FF9">
      <w:pPr>
        <w:spacing w:before="322"/>
        <w:ind w:left="3700" w:right="2615"/>
        <w:textAlignment w:val="baseline"/>
      </w:pPr>
      <w:r>
        <w:rPr>
          <w:noProof/>
        </w:rPr>
        <w:drawing>
          <wp:inline distT="0" distB="0" distL="0" distR="0" wp14:anchorId="66B26A6E" wp14:editId="66B26A6F">
            <wp:extent cx="3103245" cy="9175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3103245" cy="917575"/>
                    </a:xfrm>
                    <a:prstGeom prst="rect">
                      <a:avLst/>
                    </a:prstGeom>
                  </pic:spPr>
                </pic:pic>
              </a:graphicData>
            </a:graphic>
          </wp:inline>
        </w:drawing>
      </w:r>
    </w:p>
    <w:p w14:paraId="66B26A60" w14:textId="77777777" w:rsidR="00A66C51" w:rsidRDefault="00763FF9">
      <w:pPr>
        <w:spacing w:before="251" w:line="243" w:lineRule="exact"/>
        <w:jc w:val="center"/>
        <w:textAlignment w:val="baseline"/>
        <w:rPr>
          <w:rFonts w:ascii="Cambria" w:eastAsia="Cambria" w:hAnsi="Cambria"/>
          <w:b/>
          <w:color w:val="000000"/>
          <w:sz w:val="24"/>
          <w:u w:val="single"/>
        </w:rPr>
      </w:pPr>
      <w:r>
        <w:pict w14:anchorId="66B26A71">
          <v:shapetype id="_x0000_t202" coordsize="21600,21600" o:spt="202" path="m,l,21600r21600,l21600,xe">
            <v:stroke joinstyle="miter"/>
            <v:path gradientshapeok="t" o:connecttype="rect"/>
          </v:shapetype>
          <v:shape id="_x0000_s0" o:spid="_x0000_s1026" type="#_x0000_t202" style="position:absolute;left:0;text-align:left;margin-left:24pt;margin-top:24pt;width:564pt;height:744pt;z-index:-251658752;mso-wrap-distance-left:0;mso-wrap-distance-right:0;mso-position-horizontal-relative:page;mso-position-vertical-relative:page" filled="f" stroked="f">
            <v:textbox inset="0,0,0,0">
              <w:txbxContent>
                <w:p w14:paraId="66B26A74" w14:textId="77777777" w:rsidR="00A66C51" w:rsidRDefault="00A66C51">
                  <w:pPr>
                    <w:pBdr>
                      <w:top w:val="single" w:sz="7" w:space="0" w:color="1F3863"/>
                      <w:left w:val="single" w:sz="7" w:space="0" w:color="1F3863"/>
                      <w:bottom w:val="single" w:sz="7" w:space="0" w:color="1F3863"/>
                      <w:right w:val="single" w:sz="7" w:space="0" w:color="1F3863"/>
                    </w:pBdr>
                  </w:pPr>
                </w:p>
              </w:txbxContent>
            </v:textbox>
            <w10:wrap anchorx="page" anchory="page"/>
          </v:shape>
        </w:pict>
      </w:r>
      <w:r>
        <w:rPr>
          <w:rFonts w:ascii="Cambria" w:eastAsia="Cambria" w:hAnsi="Cambria"/>
          <w:b/>
          <w:color w:val="000000"/>
          <w:sz w:val="24"/>
          <w:u w:val="single"/>
        </w:rPr>
        <w:t>Externship Program</w:t>
      </w:r>
    </w:p>
    <w:p w14:paraId="66B26A61" w14:textId="6FA87801" w:rsidR="00A66C51" w:rsidRDefault="00763FF9">
      <w:pPr>
        <w:spacing w:before="234" w:line="222" w:lineRule="exact"/>
        <w:ind w:left="504" w:right="864"/>
        <w:textAlignment w:val="baseline"/>
        <w:rPr>
          <w:rFonts w:ascii="Cambria" w:eastAsia="Cambria" w:hAnsi="Cambria"/>
          <w:color w:val="000000"/>
          <w:sz w:val="19"/>
        </w:rPr>
      </w:pPr>
      <w:r>
        <w:rPr>
          <w:rFonts w:ascii="Cambria" w:eastAsia="Cambria" w:hAnsi="Cambria"/>
          <w:color w:val="000000"/>
          <w:sz w:val="19"/>
        </w:rPr>
        <w:t xml:space="preserve">Applegate &amp; Thorne-Thomsen seeks talented, self-motivated 2Ls with strong academic credentials, excellent writing &amp; research skills, and a demonstrated interest in affordable housing &amp; community development for its </w:t>
      </w:r>
      <w:r w:rsidR="004C0542">
        <w:rPr>
          <w:rFonts w:ascii="Cambria" w:eastAsia="Cambria" w:hAnsi="Cambria"/>
          <w:color w:val="000000"/>
          <w:sz w:val="19"/>
        </w:rPr>
        <w:t>Spring 2026</w:t>
      </w:r>
      <w:r>
        <w:rPr>
          <w:rFonts w:ascii="Cambria" w:eastAsia="Cambria" w:hAnsi="Cambria"/>
          <w:color w:val="000000"/>
          <w:sz w:val="19"/>
        </w:rPr>
        <w:t xml:space="preserve"> externship program. Our externship program is our latest effort to identify &amp; engage talent earlier in the law school process, evaluate potential summer associate candidates, and promote diversity, equity, &amp; inclusion at the firm. To that end, we strongly encourage candidates from diverse or socio-economically disadvantaged backgrounds to apply.</w:t>
      </w:r>
    </w:p>
    <w:p w14:paraId="66B26A62" w14:textId="77777777" w:rsidR="00A66C51" w:rsidRDefault="00763FF9">
      <w:pPr>
        <w:spacing w:before="236" w:line="209" w:lineRule="exact"/>
        <w:ind w:left="504" w:right="648"/>
        <w:textAlignment w:val="baseline"/>
        <w:rPr>
          <w:rFonts w:ascii="Cambria" w:eastAsia="Cambria" w:hAnsi="Cambria"/>
          <w:color w:val="000000"/>
          <w:sz w:val="19"/>
        </w:rPr>
      </w:pPr>
      <w:r>
        <w:rPr>
          <w:rFonts w:ascii="Cambria" w:eastAsia="Cambria" w:hAnsi="Cambria"/>
          <w:color w:val="000000"/>
          <w:sz w:val="19"/>
        </w:rPr>
        <w:t xml:space="preserve">The position is planned to be hybrid, with approximately half of an extern's time being spent in-person and half being spent </w:t>
      </w:r>
      <w:proofErr w:type="gramStart"/>
      <w:r>
        <w:rPr>
          <w:rFonts w:ascii="Cambria" w:eastAsia="Cambria" w:hAnsi="Cambria"/>
          <w:color w:val="000000"/>
          <w:sz w:val="19"/>
        </w:rPr>
        <w:t>remote</w:t>
      </w:r>
      <w:proofErr w:type="gramEnd"/>
      <w:r>
        <w:rPr>
          <w:rFonts w:ascii="Cambria" w:eastAsia="Cambria" w:hAnsi="Cambria"/>
          <w:color w:val="000000"/>
          <w:sz w:val="19"/>
        </w:rPr>
        <w:t>. This is a part-time, unpaid position, though applicants are encouraged to seek external funding, work-study funding, or class credits. That said, outstanding externs will be invited to return to the firm the following summer as full-time summer associates eligible for a permanent, full-time attorney position upon graduation from law school.</w:t>
      </w:r>
    </w:p>
    <w:p w14:paraId="66B26A63" w14:textId="77777777" w:rsidR="00A66C51" w:rsidRDefault="00763FF9">
      <w:pPr>
        <w:spacing w:before="470" w:line="234" w:lineRule="exact"/>
        <w:jc w:val="center"/>
        <w:textAlignment w:val="baseline"/>
        <w:rPr>
          <w:rFonts w:ascii="Cambria" w:eastAsia="Cambria" w:hAnsi="Cambria"/>
          <w:b/>
          <w:color w:val="000000"/>
          <w:spacing w:val="-1"/>
        </w:rPr>
      </w:pPr>
      <w:r>
        <w:rPr>
          <w:rFonts w:ascii="Cambria" w:eastAsia="Cambria" w:hAnsi="Cambria"/>
          <w:b/>
          <w:color w:val="000000"/>
          <w:spacing w:val="-1"/>
        </w:rPr>
        <w:t>Responsibilities:</w:t>
      </w:r>
    </w:p>
    <w:p w14:paraId="66B26A64" w14:textId="77777777" w:rsidR="00A66C51" w:rsidRDefault="00763FF9">
      <w:pPr>
        <w:spacing w:before="253" w:line="222" w:lineRule="exact"/>
        <w:ind w:left="504" w:right="720"/>
        <w:textAlignment w:val="baseline"/>
        <w:rPr>
          <w:rFonts w:ascii="Cambria" w:eastAsia="Cambria" w:hAnsi="Cambria"/>
          <w:color w:val="000000"/>
          <w:sz w:val="19"/>
        </w:rPr>
      </w:pPr>
      <w:r>
        <w:rPr>
          <w:rFonts w:ascii="Cambria" w:eastAsia="Cambria" w:hAnsi="Cambria"/>
          <w:color w:val="000000"/>
          <w:sz w:val="19"/>
        </w:rPr>
        <w:t>The extern will provide wide-ranging and integral substantive and administrative legal support to the firm’s attorneys and paralegals in all aspects of real estate development, ownership, financing, and investment. Externs will gain meaningful exposure to our firm’s practice over the course of the semester by assisting with complex real estate closings, drafting related legal documents, researching regulatory &amp; case law matters, reviewing and managing diligence files, providing general administrative suppor</w:t>
      </w:r>
      <w:r>
        <w:rPr>
          <w:rFonts w:ascii="Cambria" w:eastAsia="Cambria" w:hAnsi="Cambria"/>
          <w:color w:val="000000"/>
          <w:sz w:val="19"/>
        </w:rPr>
        <w:t>t, and participating in training programs and practice group meetings.</w:t>
      </w:r>
    </w:p>
    <w:p w14:paraId="66B26A65" w14:textId="77777777" w:rsidR="00A66C51" w:rsidRDefault="00763FF9">
      <w:pPr>
        <w:spacing w:before="304" w:line="234" w:lineRule="exact"/>
        <w:jc w:val="center"/>
        <w:textAlignment w:val="baseline"/>
        <w:rPr>
          <w:rFonts w:ascii="Cambria" w:eastAsia="Cambria" w:hAnsi="Cambria"/>
          <w:b/>
          <w:color w:val="000000"/>
          <w:spacing w:val="-2"/>
        </w:rPr>
      </w:pPr>
      <w:r>
        <w:rPr>
          <w:rFonts w:ascii="Cambria" w:eastAsia="Cambria" w:hAnsi="Cambria"/>
          <w:b/>
          <w:color w:val="000000"/>
          <w:spacing w:val="-2"/>
        </w:rPr>
        <w:t>Our Firm:</w:t>
      </w:r>
    </w:p>
    <w:p w14:paraId="66B26A66" w14:textId="77777777" w:rsidR="00A66C51" w:rsidRDefault="00763FF9">
      <w:pPr>
        <w:spacing w:before="223" w:line="222" w:lineRule="exact"/>
        <w:ind w:left="504" w:right="720"/>
        <w:textAlignment w:val="baseline"/>
        <w:rPr>
          <w:rFonts w:ascii="Cambria" w:eastAsia="Cambria" w:hAnsi="Cambria"/>
          <w:color w:val="000000"/>
          <w:sz w:val="19"/>
        </w:rPr>
      </w:pPr>
      <w:r>
        <w:rPr>
          <w:rFonts w:ascii="Cambria" w:eastAsia="Cambria" w:hAnsi="Cambria"/>
          <w:color w:val="000000"/>
          <w:sz w:val="19"/>
        </w:rPr>
        <w:t xml:space="preserve">Founded in 1998, Applegate &amp; Thorne-Thomsen serves its clients in all aspects of real estate development, ownership, financing and investment. Our passion for improving communities gives us purpose and guides our choices. We focus our efforts on affordable housing and community development, integral components of a strong community. In collaboration with our clients, we help strengthen communities and that helps make the world better for all of us. Our commitment and legal expertise </w:t>
      </w:r>
      <w:proofErr w:type="gramStart"/>
      <w:r>
        <w:rPr>
          <w:rFonts w:ascii="Cambria" w:eastAsia="Cambria" w:hAnsi="Cambria"/>
          <w:color w:val="000000"/>
          <w:sz w:val="19"/>
        </w:rPr>
        <w:t>enables</w:t>
      </w:r>
      <w:proofErr w:type="gramEnd"/>
      <w:r>
        <w:rPr>
          <w:rFonts w:ascii="Cambria" w:eastAsia="Cambria" w:hAnsi="Cambria"/>
          <w:color w:val="000000"/>
          <w:sz w:val="19"/>
        </w:rPr>
        <w:t xml:space="preserve"> our clients to effectively navigate the complexities of the affordable housing and community development industries, so projects close and get built as quickly as possible.</w:t>
      </w:r>
    </w:p>
    <w:p w14:paraId="66B26A67" w14:textId="77777777" w:rsidR="00A66C51" w:rsidRDefault="00763FF9">
      <w:pPr>
        <w:spacing w:before="225" w:line="222" w:lineRule="exact"/>
        <w:ind w:left="504" w:right="648"/>
        <w:textAlignment w:val="baseline"/>
        <w:rPr>
          <w:rFonts w:ascii="Cambria" w:eastAsia="Cambria" w:hAnsi="Cambria"/>
          <w:color w:val="000000"/>
          <w:sz w:val="19"/>
        </w:rPr>
      </w:pPr>
      <w:r>
        <w:rPr>
          <w:rFonts w:ascii="Cambria" w:eastAsia="Cambria" w:hAnsi="Cambria"/>
          <w:color w:val="000000"/>
          <w:sz w:val="19"/>
        </w:rPr>
        <w:t xml:space="preserve">Applegate &amp; Thorne-Thomsen is the “go-to” law firm in the country for community development projects involving housing, schools, healthcare facilities, community centers, business incubators, industrial facilities and more, both at the local and national levels. Our firm has </w:t>
      </w:r>
      <w:proofErr w:type="gramStart"/>
      <w:r>
        <w:rPr>
          <w:rFonts w:ascii="Cambria" w:eastAsia="Cambria" w:hAnsi="Cambria"/>
          <w:color w:val="000000"/>
          <w:sz w:val="19"/>
        </w:rPr>
        <w:t>particular expertise</w:t>
      </w:r>
      <w:proofErr w:type="gramEnd"/>
      <w:r>
        <w:rPr>
          <w:rFonts w:ascii="Cambria" w:eastAsia="Cambria" w:hAnsi="Cambria"/>
          <w:color w:val="000000"/>
          <w:sz w:val="19"/>
        </w:rPr>
        <w:t xml:space="preserve"> in federal low-income housing tax credits, federal historic tax credits, new market tax credits, energy credits and state tax credits and represents a diverse range of clients, </w:t>
      </w:r>
      <w:proofErr w:type="gramStart"/>
      <w:r>
        <w:rPr>
          <w:rFonts w:ascii="Cambria" w:eastAsia="Cambria" w:hAnsi="Cambria"/>
          <w:color w:val="000000"/>
          <w:sz w:val="19"/>
        </w:rPr>
        <w:t>from community-based developers and public housing authorities,</w:t>
      </w:r>
      <w:proofErr w:type="gramEnd"/>
      <w:r>
        <w:rPr>
          <w:rFonts w:ascii="Cambria" w:eastAsia="Cambria" w:hAnsi="Cambria"/>
          <w:color w:val="000000"/>
          <w:sz w:val="19"/>
        </w:rPr>
        <w:t xml:space="preserve"> to Fortune 100 corporations and banking institutions.</w:t>
      </w:r>
    </w:p>
    <w:p w14:paraId="66B26A68" w14:textId="77777777" w:rsidR="00A66C51" w:rsidRDefault="00763FF9">
      <w:pPr>
        <w:spacing w:before="224" w:line="222" w:lineRule="exact"/>
        <w:ind w:left="504" w:right="648"/>
        <w:textAlignment w:val="baseline"/>
        <w:rPr>
          <w:rFonts w:ascii="Cambria" w:eastAsia="Cambria" w:hAnsi="Cambria"/>
          <w:color w:val="000000"/>
          <w:sz w:val="19"/>
        </w:rPr>
      </w:pPr>
      <w:r>
        <w:rPr>
          <w:rFonts w:ascii="Cambria" w:eastAsia="Cambria" w:hAnsi="Cambria"/>
          <w:color w:val="000000"/>
          <w:sz w:val="19"/>
        </w:rPr>
        <w:t>Clients seek us out because we do not shy away from the complexity of a transaction. With our collective years of experience representing developers, syndicators, lenders, investors, nonprofit organizations, and public housing authorities, we are comfortable navigating complex transactions, grappling with new laws and federal and state financing and subsidy programs, while always remaining plugged into market and industry trends. We do all of this so we can deliver the best experience for our clients, and f</w:t>
      </w:r>
      <w:r>
        <w:rPr>
          <w:rFonts w:ascii="Cambria" w:eastAsia="Cambria" w:hAnsi="Cambria"/>
          <w:color w:val="000000"/>
          <w:sz w:val="19"/>
        </w:rPr>
        <w:t>urther our commitment to building better communities.</w:t>
      </w:r>
    </w:p>
    <w:p w14:paraId="66B26A69" w14:textId="77777777" w:rsidR="00A66C51" w:rsidRDefault="00763FF9">
      <w:pPr>
        <w:spacing w:before="284" w:line="234" w:lineRule="exact"/>
        <w:jc w:val="center"/>
        <w:textAlignment w:val="baseline"/>
        <w:rPr>
          <w:rFonts w:ascii="Cambria" w:eastAsia="Cambria" w:hAnsi="Cambria"/>
          <w:b/>
          <w:color w:val="000000"/>
          <w:spacing w:val="-2"/>
        </w:rPr>
      </w:pPr>
      <w:r>
        <w:rPr>
          <w:rFonts w:ascii="Cambria" w:eastAsia="Cambria" w:hAnsi="Cambria"/>
          <w:b/>
          <w:color w:val="000000"/>
          <w:spacing w:val="-2"/>
        </w:rPr>
        <w:t>How to Apply:</w:t>
      </w:r>
    </w:p>
    <w:p w14:paraId="66B26A6A" w14:textId="27713B31" w:rsidR="00A66C51" w:rsidRDefault="00763FF9">
      <w:pPr>
        <w:spacing w:before="224" w:line="222" w:lineRule="exact"/>
        <w:ind w:left="504" w:right="1080"/>
        <w:textAlignment w:val="baseline"/>
        <w:rPr>
          <w:rFonts w:ascii="Cambria" w:eastAsia="Cambria" w:hAnsi="Cambria"/>
          <w:color w:val="000000"/>
          <w:sz w:val="19"/>
        </w:rPr>
      </w:pPr>
      <w:r>
        <w:rPr>
          <w:rFonts w:ascii="Cambria" w:eastAsia="Cambria" w:hAnsi="Cambria"/>
          <w:color w:val="000000"/>
          <w:sz w:val="19"/>
        </w:rPr>
        <w:t>Please submit applications (which must include a cover letter and resume) to Lauren Frank</w:t>
      </w:r>
      <w:r w:rsidR="00AD7DA5">
        <w:t xml:space="preserve"> at lfrank@att-law.com</w:t>
      </w:r>
      <w:r>
        <w:rPr>
          <w:rFonts w:ascii="Cambria" w:eastAsia="Cambria" w:hAnsi="Cambria"/>
          <w:color w:val="0462C1"/>
          <w:sz w:val="19"/>
        </w:rPr>
        <w:t>.</w:t>
      </w:r>
      <w:r>
        <w:rPr>
          <w:rFonts w:ascii="Cambria" w:eastAsia="Cambria" w:hAnsi="Cambria"/>
          <w:color w:val="000000"/>
          <w:sz w:val="19"/>
        </w:rPr>
        <w:t xml:space="preserve"> All applications will be acknowledged in writing.</w:t>
      </w:r>
    </w:p>
    <w:p w14:paraId="66B26A6B" w14:textId="2D9E63CD" w:rsidR="00A66C51" w:rsidRDefault="00763FF9">
      <w:pPr>
        <w:spacing w:before="245" w:line="201" w:lineRule="exact"/>
        <w:ind w:left="504"/>
        <w:textAlignment w:val="baseline"/>
        <w:rPr>
          <w:rFonts w:ascii="Cambria" w:eastAsia="Cambria" w:hAnsi="Cambria"/>
          <w:color w:val="000000"/>
          <w:sz w:val="19"/>
        </w:rPr>
      </w:pPr>
      <w:r>
        <w:rPr>
          <w:rFonts w:ascii="Cambria" w:eastAsia="Cambria" w:hAnsi="Cambria"/>
          <w:color w:val="000000"/>
          <w:sz w:val="19"/>
        </w:rPr>
        <w:t xml:space="preserve">Applications will be accepted on a rolling basis through </w:t>
      </w:r>
      <w:r w:rsidR="00AD7DA5">
        <w:rPr>
          <w:rFonts w:ascii="Cambria" w:eastAsia="Cambria" w:hAnsi="Cambria"/>
          <w:color w:val="000000"/>
          <w:sz w:val="19"/>
        </w:rPr>
        <w:t>December 13, 2025</w:t>
      </w:r>
      <w:r>
        <w:rPr>
          <w:rFonts w:ascii="Cambria" w:eastAsia="Cambria" w:hAnsi="Cambria"/>
          <w:color w:val="000000"/>
          <w:sz w:val="19"/>
        </w:rPr>
        <w:t>.</w:t>
      </w:r>
    </w:p>
    <w:p w14:paraId="66B26A6C" w14:textId="77777777" w:rsidR="00A66C51" w:rsidRDefault="00763FF9">
      <w:pPr>
        <w:spacing w:before="218" w:line="222" w:lineRule="exact"/>
        <w:ind w:left="504" w:right="720"/>
        <w:textAlignment w:val="baseline"/>
        <w:rPr>
          <w:rFonts w:ascii="Cambria" w:eastAsia="Cambria" w:hAnsi="Cambria"/>
          <w:color w:val="000000"/>
          <w:sz w:val="19"/>
        </w:rPr>
      </w:pPr>
      <w:r>
        <w:rPr>
          <w:rFonts w:ascii="Cambria" w:eastAsia="Cambria" w:hAnsi="Cambria"/>
          <w:color w:val="000000"/>
          <w:sz w:val="19"/>
        </w:rPr>
        <w:t>We are an Equal Opportunity Employer. All decisions will be made in accordance with all applicable federal, state, city and municipal non-discrimination laws.</w:t>
      </w:r>
    </w:p>
    <w:p w14:paraId="66B26A6D" w14:textId="77777777" w:rsidR="00A66C51" w:rsidRDefault="00763FF9">
      <w:pPr>
        <w:spacing w:before="527" w:line="213" w:lineRule="exact"/>
        <w:jc w:val="center"/>
        <w:textAlignment w:val="baseline"/>
        <w:rPr>
          <w:rFonts w:ascii="Cambria" w:eastAsia="Cambria" w:hAnsi="Cambria"/>
          <w:color w:val="2E5395"/>
          <w:sz w:val="20"/>
        </w:rPr>
      </w:pPr>
      <w:r>
        <w:rPr>
          <w:rFonts w:ascii="Cambria" w:eastAsia="Cambria" w:hAnsi="Cambria"/>
          <w:color w:val="2E5395"/>
          <w:sz w:val="20"/>
        </w:rPr>
        <w:t>425 S. Financial Place · Suite 1900 · Chicago, Illinois 60605 · t/312.491.4400 · f/312.491.4411</w:t>
      </w:r>
    </w:p>
    <w:sectPr w:rsidR="00A66C51">
      <w:pgSz w:w="12240" w:h="15840"/>
      <w:pgMar w:top="480" w:right="519" w:bottom="210" w:left="5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6A76" w14:textId="77777777" w:rsidR="00763FF9" w:rsidRDefault="00763FF9">
      <w:r>
        <w:separator/>
      </w:r>
    </w:p>
  </w:endnote>
  <w:endnote w:type="continuationSeparator" w:id="0">
    <w:p w14:paraId="66B26A78" w14:textId="77777777" w:rsidR="00763FF9" w:rsidRDefault="0076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mbria">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26A72" w14:textId="77777777" w:rsidR="00A66C51" w:rsidRDefault="00A66C51"/>
  </w:footnote>
  <w:footnote w:type="continuationSeparator" w:id="0">
    <w:p w14:paraId="66B26A73" w14:textId="77777777" w:rsidR="00A66C51" w:rsidRDefault="00763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51"/>
    <w:rsid w:val="003055C5"/>
    <w:rsid w:val="004C0542"/>
    <w:rsid w:val="00763FF9"/>
    <w:rsid w:val="00A66C51"/>
    <w:rsid w:val="00AD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B26A5F"/>
  <w15:docId w15:val="{44CA01F0-F660-4C62-9804-1E54AB10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3445</Characters>
  <Application>Microsoft Office Word</Application>
  <DocSecurity>0</DocSecurity>
  <Lines>41</Lines>
  <Paragraphs>16</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Externship Program Flyer 2023</dc:title>
  <dc:creator>Stephanie Todd</dc:creator>
  <cp:lastModifiedBy>Lauren Frank</cp:lastModifiedBy>
  <cp:revision>2</cp:revision>
  <dcterms:created xsi:type="dcterms:W3CDTF">2025-10-21T18:53:00Z</dcterms:created>
  <dcterms:modified xsi:type="dcterms:W3CDTF">2025-10-21T18:53:00Z</dcterms:modified>
</cp:coreProperties>
</file>